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degliano Viconago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